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6" Type="http://schemas.openxmlformats.org/package/2006/relationships/metadata/core-properties" Target="docProps/core.xml"/><Relationship Id="rId5" Type="http://schemas.microsoft.com/office/2006/relationships/ui/userCustomization" Target="userCustomization/customUI.xml"/><Relationship Id="rId4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4E" w:rsidRPr="00176869" w:rsidRDefault="00201415" w:rsidP="006003F2">
      <w:pPr>
        <w:pStyle w:val="OZNPROJEKTUwskazaniedatylubwersjiprojektu"/>
        <w:keepNext/>
      </w:pPr>
      <w:bookmarkStart w:id="0" w:name="_GoBack"/>
      <w:bookmarkEnd w:id="0"/>
      <w:r w:rsidRPr="00176869">
        <w:t>Projekt</w:t>
      </w:r>
      <w:r>
        <w:t xml:space="preserve"> z dnia 29 </w:t>
      </w:r>
      <w:r w:rsidRPr="00C91B2C">
        <w:t>lipca 2019 r.</w:t>
      </w:r>
    </w:p>
    <w:p w:rsidR="00261A16" w:rsidRDefault="002D55D4" w:rsidP="00737F6A"/>
    <w:p w:rsidR="009B39FD" w:rsidRPr="008E447F" w:rsidRDefault="00201415" w:rsidP="009B39FD">
      <w:pPr>
        <w:pStyle w:val="OZNRODZAKTUtznustawalubrozporzdzenieiorganwydajcy"/>
      </w:pPr>
      <w:r w:rsidRPr="008E447F">
        <w:t>ROZPORZĄDZENIE</w:t>
      </w:r>
    </w:p>
    <w:p w:rsidR="009B39FD" w:rsidRPr="007C5A3E" w:rsidRDefault="00201415" w:rsidP="009B39FD">
      <w:pPr>
        <w:pStyle w:val="OZNRODZAKTUtznustawalubrozporzdzenieiorganwydajcy"/>
        <w:rPr>
          <w:rStyle w:val="IGindeksgrny"/>
        </w:rPr>
      </w:pPr>
      <w:r w:rsidRPr="008E447F">
        <w:t>MINISTRA EDUKACJI NARODOWEJ</w:t>
      </w:r>
      <w:r>
        <w:rPr>
          <w:rStyle w:val="Odwoanieprzypisudolnego"/>
        </w:rPr>
        <w:footnoteReference w:id="1"/>
      </w:r>
      <w:r>
        <w:rPr>
          <w:rStyle w:val="IGindeksgrny"/>
        </w:rPr>
        <w:t>)</w:t>
      </w:r>
    </w:p>
    <w:p w:rsidR="009B39FD" w:rsidRPr="008E447F" w:rsidRDefault="00201415" w:rsidP="009B39FD">
      <w:pPr>
        <w:pStyle w:val="DATAAKTUdatauchwalenialubwydaniaaktu"/>
      </w:pPr>
      <w:r w:rsidRPr="008E447F">
        <w:t xml:space="preserve">z dnia ……………………………….. </w:t>
      </w:r>
      <w:r>
        <w:t>2019 </w:t>
      </w:r>
      <w:r w:rsidRPr="008E447F">
        <w:t>r.</w:t>
      </w:r>
    </w:p>
    <w:p w:rsidR="009B39FD" w:rsidRPr="008E447F" w:rsidRDefault="00201415" w:rsidP="009B39FD">
      <w:pPr>
        <w:pStyle w:val="TYTUAKTUprzedmiotregulacjiustawylubrozporzdzenia"/>
      </w:pPr>
      <w:r>
        <w:t xml:space="preserve">zmieniające rozporządzenie </w:t>
      </w:r>
      <w:r w:rsidRPr="008E447F">
        <w:t>w sprawie sposobu podziału części oświatowej subwencji ogólnej dla jednostek samorządu terytorialnego w</w:t>
      </w:r>
      <w:r>
        <w:t> </w:t>
      </w:r>
      <w:r w:rsidRPr="008E447F">
        <w:t xml:space="preserve">roku </w:t>
      </w:r>
      <w:r>
        <w:t>2019</w:t>
      </w:r>
    </w:p>
    <w:p w:rsidR="009B39FD" w:rsidRPr="008E447F" w:rsidRDefault="00201415" w:rsidP="009B39FD">
      <w:pPr>
        <w:pStyle w:val="NIEARTTEKSTtekstnieartykuowanynppodstprawnarozplubpreambua"/>
      </w:pPr>
      <w:r w:rsidRPr="008E447F">
        <w:t>Na podstawie</w:t>
      </w:r>
      <w:r>
        <w:t xml:space="preserve"> art. </w:t>
      </w:r>
      <w:r w:rsidRPr="008E447F">
        <w:t>28</w:t>
      </w:r>
      <w:r>
        <w:t xml:space="preserve"> ust. </w:t>
      </w:r>
      <w:r w:rsidRPr="008E447F">
        <w:t>6</w:t>
      </w:r>
      <w:r>
        <w:t> </w:t>
      </w:r>
      <w:r w:rsidRPr="008E447F">
        <w:t>ustawy z</w:t>
      </w:r>
      <w:r>
        <w:t> </w:t>
      </w:r>
      <w:r w:rsidRPr="008E447F">
        <w:t>dnia 13</w:t>
      </w:r>
      <w:r>
        <w:t> </w:t>
      </w:r>
      <w:r w:rsidRPr="008E447F">
        <w:t>listopada 2003</w:t>
      </w:r>
      <w:r>
        <w:t> </w:t>
      </w:r>
      <w:r w:rsidRPr="008E447F">
        <w:t>r. o</w:t>
      </w:r>
      <w:r>
        <w:t> </w:t>
      </w:r>
      <w:r w:rsidRPr="008E447F">
        <w:t xml:space="preserve">dochodach jednostek samorządu terytorialnego </w:t>
      </w:r>
      <w:r w:rsidRPr="002807E6">
        <w:t>(</w:t>
      </w:r>
      <w:r>
        <w:t>Dz. U.</w:t>
      </w:r>
      <w:r w:rsidRPr="002807E6">
        <w:t xml:space="preserve"> z </w:t>
      </w:r>
      <w:r w:rsidRPr="00B921BE">
        <w:t>2018</w:t>
      </w:r>
      <w:r>
        <w:t> </w:t>
      </w:r>
      <w:r w:rsidRPr="00B921BE">
        <w:t>r.</w:t>
      </w:r>
      <w:r>
        <w:t xml:space="preserve"> poz. 1530, 2161, 2193 i 2245 oraz z 2019 r. poz. 525 i 1287)</w:t>
      </w:r>
      <w:r w:rsidRPr="008E447F">
        <w:t xml:space="preserve"> zarządza się, co następuje:</w:t>
      </w:r>
    </w:p>
    <w:p w:rsidR="009B39FD" w:rsidRDefault="00201415" w:rsidP="009B39FD">
      <w:pPr>
        <w:pStyle w:val="ARTartustawynprozporzdzenia"/>
      </w:pPr>
      <w:r w:rsidRPr="00D332CB">
        <w:rPr>
          <w:rStyle w:val="Ppogrubienie"/>
        </w:rPr>
        <w:t>§ 1.</w:t>
      </w:r>
      <w:r w:rsidRPr="007B386B">
        <w:rPr>
          <w:rStyle w:val="Ppogrubienie"/>
        </w:rPr>
        <w:t xml:space="preserve"> </w:t>
      </w:r>
      <w:r w:rsidRPr="009A4F81">
        <w:t>W rozporządzeniu Ministra Edukacji Narodowej z dnia 18 grudnia 2018 r.</w:t>
      </w:r>
      <w:r>
        <w:t xml:space="preserve"> </w:t>
      </w:r>
      <w:r w:rsidRPr="009A4F81">
        <w:t>w sprawie sposobu podziału części oświatowej subwencji ogólnej dla jednostek samo</w:t>
      </w:r>
      <w:r>
        <w:t>rządu terytorialnego w roku 2019 (Dz. U.</w:t>
      </w:r>
      <w:r w:rsidRPr="009A4F81">
        <w:t> poz. 2446) w załączniku po ust. 7 dodaje się ust. 7a w brzmieniu:</w:t>
      </w:r>
    </w:p>
    <w:p w:rsidR="009B39FD" w:rsidRPr="001B3E99" w:rsidRDefault="00201415" w:rsidP="009B39FD">
      <w:pPr>
        <w:pStyle w:val="USTustnpkodeksu"/>
      </w:pPr>
      <w:r w:rsidRPr="001B3E99">
        <w:t xml:space="preserve"> „7a. Całkowita kwota części oświatowej dla jednostek samorządu terytorialnego, ustalona w sposób określony w ust. 7, ulega zwiększeniu o środki, zwane dalej „</w:t>
      </w:r>
      <w:r>
        <w:t xml:space="preserve">ogólną </w:t>
      </w:r>
      <w:r w:rsidRPr="001B3E99">
        <w:t>kwot</w:t>
      </w:r>
      <w:r>
        <w:t>ą</w:t>
      </w:r>
      <w:r w:rsidRPr="001B3E99">
        <w:t xml:space="preserve"> korygując</w:t>
      </w:r>
      <w:r>
        <w:t>ą</w:t>
      </w:r>
      <w:r w:rsidRPr="001B3E99">
        <w:t>”.</w:t>
      </w:r>
    </w:p>
    <w:p w:rsidR="009B39FD" w:rsidRPr="009B39FD" w:rsidRDefault="00201415" w:rsidP="005A7A52">
      <w:pPr>
        <w:pStyle w:val="USTustnpkodeksu"/>
        <w:ind w:firstLine="0"/>
      </w:pPr>
      <w:r>
        <w:t>Ogólna k</w:t>
      </w:r>
      <w:r w:rsidRPr="009B39FD">
        <w:t xml:space="preserve">wota korygująca, po odliczeniu rezerwy, o której mowa w art. 28 ust. 2 ustawy z dnia 13 listopada 2003 r. o dochodach jednostek samorządu terytorialnego, </w:t>
      </w:r>
      <w:r>
        <w:t xml:space="preserve">KK </w:t>
      </w:r>
      <w:r w:rsidRPr="009B39FD">
        <w:t xml:space="preserve">jest dzielona między jednostki samorządu terytorialnego. Kwota korygująca </w:t>
      </w:r>
      <w:r>
        <w:t>KK</w:t>
      </w:r>
      <w:r w:rsidRPr="002558A3">
        <w:rPr>
          <w:rStyle w:val="IDindeksdolny"/>
        </w:rPr>
        <w:t>i</w:t>
      </w:r>
      <w:r>
        <w:t xml:space="preserve"> </w:t>
      </w:r>
      <w:r w:rsidRPr="009B39FD">
        <w:t>dla poszczególnych jednostek samorządu terytorialnego jest ustalana według wzoru:</w:t>
      </w:r>
    </w:p>
    <w:p w:rsidR="009B39FD" w:rsidRDefault="002D55D4" w:rsidP="009B39FD">
      <w:pPr>
        <w:pStyle w:val="WMATFIZCHEMwzrmatfizlubchem"/>
      </w:pPr>
    </w:p>
    <w:p w:rsidR="009B39FD" w:rsidRPr="009B39FD" w:rsidRDefault="002D55D4" w:rsidP="009B39FD">
      <w:pPr>
        <w:pStyle w:val="WMATFIZCHEMwzrmatfizlubchem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KK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b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t,i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∙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KK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sub>
            </m:sSub>
          </m:den>
        </m:f>
      </m:oMath>
      <w:r w:rsidR="00201415" w:rsidRPr="009B39FD">
        <w:t xml:space="preserve"> </w:t>
      </w:r>
      <w:r w:rsidR="00201415" w:rsidRPr="009B39FD">
        <w:tab/>
      </w:r>
    </w:p>
    <w:p w:rsidR="009B39FD" w:rsidRDefault="002D55D4" w:rsidP="009B39FD">
      <w:pPr>
        <w:pStyle w:val="WMATFIZCHEMwzrmatfizlubchem"/>
      </w:pPr>
    </w:p>
    <w:p w:rsidR="009B39FD" w:rsidRPr="009B39FD" w:rsidRDefault="00201415" w:rsidP="00294907">
      <w:pPr>
        <w:pStyle w:val="WMATFIZCHEMwzrmatfizlubchem"/>
        <w:jc w:val="both"/>
      </w:pPr>
      <w:r>
        <w:t>g</w:t>
      </w:r>
      <w:r w:rsidRPr="009B39FD">
        <w:t>dzie znaczenie poszczególnych symboli jest następujące:</w:t>
      </w:r>
    </w:p>
    <w:p w:rsidR="009B39FD" w:rsidRDefault="002D55D4" w:rsidP="009B39FD">
      <w:pPr>
        <w:pStyle w:val="ARTartustawynprozporzdzenia"/>
      </w:pPr>
    </w:p>
    <w:p w:rsidR="009B39FD" w:rsidRPr="00760F54" w:rsidRDefault="00201415" w:rsidP="009B39FD">
      <w:pPr>
        <w:pStyle w:val="PKTpunkt"/>
      </w:pPr>
      <w:r>
        <w:t>1)</w:t>
      </w:r>
      <w:r>
        <w:tab/>
      </w:r>
      <w:r w:rsidRPr="00760F54">
        <w:t>KK</w:t>
      </w:r>
      <w:r w:rsidRPr="00760F54">
        <w:rPr>
          <w:rStyle w:val="IDindeksdolny"/>
        </w:rPr>
        <w:t xml:space="preserve">i </w:t>
      </w:r>
      <w:r w:rsidRPr="00760F54">
        <w:t>–</w:t>
      </w:r>
      <w:r w:rsidRPr="00760F54">
        <w:tab/>
        <w:t>kwota korygująca dla i-tej jednostki samorządu terytorialnego, po zaokrągleniu w dół do pełnych złotych</w:t>
      </w:r>
      <w:r>
        <w:t>;</w:t>
      </w:r>
    </w:p>
    <w:p w:rsidR="009B39FD" w:rsidRDefault="002D55D4" w:rsidP="009B39FD">
      <w:pPr>
        <w:pStyle w:val="PKTpunkt"/>
      </w:pPr>
    </w:p>
    <w:p w:rsidR="009B39FD" w:rsidRDefault="00201415" w:rsidP="009B39FD">
      <w:pPr>
        <w:pStyle w:val="PKTpunkt"/>
      </w:pPr>
      <w:r>
        <w:t>2)</w:t>
      </w:r>
      <w:r>
        <w:tab/>
        <w:t>KK –</w:t>
      </w:r>
      <w:r>
        <w:tab/>
        <w:t>ogólna kwota korygująca, po odliczeniu rezerwy, o której mowa w art. 28 ust. 2 ustawy z dnia 13 listopada 2003 r. o dochodach jednostek samorządu terytorialnego;</w:t>
      </w:r>
    </w:p>
    <w:p w:rsidR="009B39FD" w:rsidRDefault="002D55D4" w:rsidP="009B39FD">
      <w:pPr>
        <w:pStyle w:val="PKTpunkt"/>
      </w:pPr>
    </w:p>
    <w:p w:rsidR="009B39FD" w:rsidRPr="00B47533" w:rsidRDefault="00201415" w:rsidP="009B39FD">
      <w:pPr>
        <w:pStyle w:val="PKTpunkt"/>
        <w:rPr>
          <w:rStyle w:val="IDindeksdolny"/>
        </w:rPr>
      </w:pPr>
      <w:r>
        <w:t>3)</w:t>
      </w:r>
      <w:r>
        <w:tab/>
      </w:r>
      <w:r w:rsidRPr="00B47533">
        <w:t>U</w:t>
      </w:r>
      <w:r w:rsidRPr="00792649">
        <w:rPr>
          <w:rStyle w:val="IDindeksdolny"/>
        </w:rPr>
        <w:t xml:space="preserve">t,i </w:t>
      </w:r>
      <w:r w:rsidRPr="00B47533">
        <w:t>–</w:t>
      </w:r>
      <w:r w:rsidRPr="009B39FD">
        <w:rPr>
          <w:rStyle w:val="IDindeksdolny"/>
        </w:rPr>
        <w:t xml:space="preserve"> </w:t>
      </w:r>
      <w:r w:rsidRPr="009B39FD">
        <w:rPr>
          <w:rStyle w:val="IDindeksdolny"/>
          <w:vertAlign w:val="baseline"/>
        </w:rPr>
        <w:t xml:space="preserve">dodatkowa przeliczeniowa liczba uczniów w szkołach publicznych </w:t>
      </w:r>
      <w:r w:rsidRPr="009B39FD">
        <w:rPr>
          <w:rStyle w:val="IGPKindeksgrnyipogrubieniekursywa"/>
          <w:b w:val="0"/>
          <w:i w:val="0"/>
          <w:vertAlign w:val="baseline"/>
        </w:rPr>
        <w:t xml:space="preserve">w i-tej </w:t>
      </w:r>
      <w:r w:rsidRPr="009B39FD">
        <w:t>jednostce</w:t>
      </w:r>
      <w:r w:rsidRPr="00B47533">
        <w:t xml:space="preserve"> samorządu terytorialnego, ustalona na podstawie danych systemu informacji oświatowej dla bazowego roku szkolnego według stanu na dzień 30 września 2018 r. i dzień 10 października 2018 r., obliczana według wzoru:</w:t>
      </w:r>
    </w:p>
    <w:p w:rsidR="009B39FD" w:rsidRDefault="002D55D4" w:rsidP="009B39FD">
      <w:pPr>
        <w:pStyle w:val="PKTpunkt"/>
      </w:pPr>
    </w:p>
    <w:p w:rsidR="009B39FD" w:rsidRDefault="002D55D4" w:rsidP="009B39FD">
      <w:pPr>
        <w:pStyle w:val="WMATFIZCHEMwzrmatfizlubchem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pp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a,i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</m:oMath>
      </m:oMathPara>
    </w:p>
    <w:p w:rsidR="009B39FD" w:rsidRDefault="002D55D4" w:rsidP="009B39FD">
      <w:pPr>
        <w:pStyle w:val="PKTpunkt"/>
      </w:pPr>
    </w:p>
    <w:p w:rsidR="009B39FD" w:rsidRPr="00B47533" w:rsidRDefault="00201415" w:rsidP="00B23424">
      <w:pPr>
        <w:pStyle w:val="PKTpunkt"/>
      </w:pPr>
      <w:r>
        <w:t>gdzie:</w:t>
      </w:r>
      <w:r w:rsidRPr="00B47533">
        <w:t xml:space="preserve"> </w:t>
      </w:r>
    </w:p>
    <w:p w:rsidR="009B39FD" w:rsidRDefault="002D55D4" w:rsidP="009B39FD">
      <w:pPr>
        <w:pStyle w:val="PKTpunkt"/>
      </w:pPr>
    </w:p>
    <w:p w:rsidR="009B39FD" w:rsidRDefault="00201415" w:rsidP="00B23424">
      <w:pPr>
        <w:pStyle w:val="PKTpunkt"/>
      </w:pPr>
      <w:r>
        <w:t>U</w:t>
      </w:r>
      <w:r w:rsidRPr="00B31F52">
        <w:rPr>
          <w:rStyle w:val="IDindeksdolny"/>
        </w:rPr>
        <w:t xml:space="preserve">pp,i </w:t>
      </w:r>
      <w:r>
        <w:t>–</w:t>
      </w:r>
      <w:r>
        <w:tab/>
      </w:r>
      <w:r w:rsidRPr="009B39FD">
        <w:rPr>
          <w:rStyle w:val="IDindeksdolny"/>
          <w:vertAlign w:val="baseline"/>
        </w:rPr>
        <w:t xml:space="preserve">przeliczeniowa liczba </w:t>
      </w:r>
      <w:r w:rsidRPr="00B23424">
        <w:rPr>
          <w:rStyle w:val="IDindeksdolny"/>
          <w:vertAlign w:val="baseline"/>
        </w:rPr>
        <w:t>uczniów</w:t>
      </w:r>
      <w:r w:rsidRPr="009B39FD">
        <w:rPr>
          <w:rStyle w:val="IDindeksdolny"/>
          <w:vertAlign w:val="baseline"/>
        </w:rPr>
        <w:t xml:space="preserve"> ogółem w publicznych </w:t>
      </w:r>
      <w:r w:rsidRPr="009B39FD">
        <w:rPr>
          <w:rStyle w:val="IGPKindeksgrnyipogrubieniekursywa"/>
          <w:b w:val="0"/>
          <w:i w:val="0"/>
          <w:vertAlign w:val="baseline"/>
        </w:rPr>
        <w:t xml:space="preserve"> szkołach i placówkach, o których mowa w § 1 ust. 2 pkt 1 i 2 rozporządzenia, w i-tej</w:t>
      </w:r>
      <w:r w:rsidRPr="009B39FD">
        <w:rPr>
          <w:rStyle w:val="IGPKindeksgrnyipogrubieniekursywa"/>
        </w:rPr>
        <w:t xml:space="preserve"> </w:t>
      </w:r>
      <w:r w:rsidRPr="00792DE2">
        <w:t>jednostce samorządu terytorialnego, obliczana według wzoru</w:t>
      </w:r>
      <w:r>
        <w:t>:</w:t>
      </w:r>
    </w:p>
    <w:p w:rsidR="009B39FD" w:rsidRDefault="002D55D4" w:rsidP="009B39FD">
      <w:pPr>
        <w:pStyle w:val="PKTpunkt"/>
      </w:pPr>
    </w:p>
    <w:p w:rsidR="009B39FD" w:rsidRPr="00792DE2" w:rsidRDefault="00201415" w:rsidP="009B39FD">
      <w:pPr>
        <w:pStyle w:val="PKTpunkt"/>
      </w:pPr>
      <m:oMathPara>
        <m:oMath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pp,i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a,i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(U</m:t>
              </m:r>
            </m:e>
            <m:sub>
              <m:r>
                <w:rPr>
                  <w:rFonts w:ascii="Cambria Math" w:hAnsi="Cambria Math"/>
                </w:rPr>
                <m:t>r,i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u,i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z,i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9B39FD" w:rsidRDefault="002D55D4" w:rsidP="009B39FD">
      <w:pPr>
        <w:pStyle w:val="WMATFIZCHEMwzrmatfizlubchem"/>
      </w:pPr>
    </w:p>
    <w:p w:rsidR="009B39FD" w:rsidRPr="009B39FD" w:rsidRDefault="00201415" w:rsidP="00294907">
      <w:pPr>
        <w:pStyle w:val="LITlitera"/>
      </w:pPr>
      <w:r w:rsidRPr="00792DE2">
        <w:t xml:space="preserve">gdzie: </w:t>
      </w:r>
    </w:p>
    <w:p w:rsidR="009B39FD" w:rsidRPr="009B39FD" w:rsidRDefault="002D55D4" w:rsidP="00294907">
      <w:pPr>
        <w:pStyle w:val="LITlitera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a,i</m:t>
            </m:r>
          </m:sub>
        </m:sSub>
      </m:oMath>
      <w:r w:rsidR="00201415">
        <w:t xml:space="preserve"> – wskaźnik obliczony w sposób określony w ust. 2 pkt 6, z uwzględnieniem średniego wynagrodzenia nauczycieli ustalonego w sposób określony w art. 30 ust. 3 ustawy z dnia 26 stycznia 1982 r. – Karta Nauczyciela, zwiększonego o 9,6%; przy obliczaniu wskaźnika bierze się pod uwagę wyłącznie liczbę </w:t>
      </w:r>
      <w:r w:rsidR="00201415" w:rsidRPr="006D30ED">
        <w:t>uczniów</w:t>
      </w:r>
      <w:r w:rsidR="00201415">
        <w:t xml:space="preserve">, </w:t>
      </w:r>
      <w:r w:rsidR="00201415" w:rsidRPr="006D30ED">
        <w:t xml:space="preserve">dzieci i młodzieży </w:t>
      </w:r>
      <w:r w:rsidR="00201415">
        <w:t>L</w:t>
      </w:r>
      <w:r w:rsidR="00201415" w:rsidRPr="00792649">
        <w:rPr>
          <w:rStyle w:val="IDindeksdolny"/>
        </w:rPr>
        <w:t>w,i</w:t>
      </w:r>
      <w:r w:rsidR="00201415">
        <w:t xml:space="preserve"> i L</w:t>
      </w:r>
      <w:r w:rsidR="00201415" w:rsidRPr="00792649">
        <w:rPr>
          <w:rStyle w:val="IDindeksdolny"/>
        </w:rPr>
        <w:t>i</w:t>
      </w:r>
      <w:r w:rsidR="00201415">
        <w:t xml:space="preserve"> </w:t>
      </w:r>
      <w:r w:rsidR="00201415" w:rsidRPr="009B39FD">
        <w:rPr>
          <w:rStyle w:val="IDindeksdolny"/>
          <w:vertAlign w:val="baseline"/>
        </w:rPr>
        <w:t>w publicznych szkołach, przedszkolach, oddziałach przedszkolnych w szkołach podstawowych i innych formach wychowania przedszkolnego</w:t>
      </w:r>
      <w:r w:rsidR="00201415" w:rsidRPr="009B39FD">
        <w:t>,</w:t>
      </w:r>
    </w:p>
    <w:p w:rsidR="009B39FD" w:rsidRDefault="002D55D4" w:rsidP="009B39FD">
      <w:pPr>
        <w:pStyle w:val="PKTpunkt"/>
      </w:pPr>
    </w:p>
    <w:p w:rsidR="009B39FD" w:rsidRPr="009B39FD" w:rsidRDefault="00201415" w:rsidP="00294907">
      <w:pPr>
        <w:pStyle w:val="LITlitera"/>
        <w:rPr>
          <w:rStyle w:val="IGPKindeksgrnyipogrubieniekursywa"/>
          <w:b w:val="0"/>
          <w:i w:val="0"/>
          <w:vertAlign w:val="baseline"/>
        </w:rPr>
      </w:pPr>
      <w:r>
        <w:t>U</w:t>
      </w:r>
      <w:r>
        <w:rPr>
          <w:rStyle w:val="IDindeksdolny"/>
        </w:rPr>
        <w:t xml:space="preserve">r,i </w:t>
      </w:r>
      <w:r w:rsidRPr="00B23424">
        <w:rPr>
          <w:rStyle w:val="IDindeksdolny"/>
          <w:vertAlign w:val="baseline"/>
        </w:rPr>
        <w:t>–</w:t>
      </w:r>
      <w:r>
        <w:rPr>
          <w:rStyle w:val="IDindeksdolny"/>
        </w:rPr>
        <w:t xml:space="preserve"> </w:t>
      </w:r>
      <w:r w:rsidRPr="009B39FD">
        <w:rPr>
          <w:rStyle w:val="IDindeksdolny"/>
          <w:vertAlign w:val="baseline"/>
        </w:rPr>
        <w:t xml:space="preserve">statystyczna liczba </w:t>
      </w:r>
      <w:r w:rsidRPr="00B23424">
        <w:rPr>
          <w:rStyle w:val="IDindeksdolny"/>
          <w:vertAlign w:val="baseline"/>
        </w:rPr>
        <w:t>uczniów obliczona</w:t>
      </w:r>
      <w:r w:rsidRPr="001E60BE">
        <w:rPr>
          <w:rStyle w:val="IDindeksdolny"/>
          <w:vertAlign w:val="baseline"/>
        </w:rPr>
        <w:t xml:space="preserve"> w sposób</w:t>
      </w:r>
      <w:r w:rsidRPr="009B39FD">
        <w:rPr>
          <w:rStyle w:val="IDindeksdolny"/>
          <w:vertAlign w:val="baseline"/>
        </w:rPr>
        <w:t xml:space="preserve"> określony w ust. 2 pkt 3 w publicznych </w:t>
      </w:r>
      <w:r w:rsidRPr="009B39FD">
        <w:rPr>
          <w:rStyle w:val="IGPKindeksgrnyipogrubieniekursywa"/>
          <w:b w:val="0"/>
          <w:i w:val="0"/>
          <w:vertAlign w:val="baseline"/>
        </w:rPr>
        <w:t xml:space="preserve"> szkołach i placówkach, o których mowa w § 1 ust. 2 pkt 1 i 2 rozporządzenia,</w:t>
      </w:r>
    </w:p>
    <w:p w:rsidR="009B39FD" w:rsidRPr="009B39FD" w:rsidRDefault="002D55D4" w:rsidP="009B39FD">
      <w:pPr>
        <w:pStyle w:val="PKTpunkt"/>
        <w:rPr>
          <w:rStyle w:val="IDindeksdolny"/>
        </w:rPr>
      </w:pPr>
    </w:p>
    <w:p w:rsidR="009B39FD" w:rsidRPr="009B39FD" w:rsidRDefault="00201415" w:rsidP="00294907">
      <w:pPr>
        <w:pStyle w:val="LITlitera"/>
        <w:rPr>
          <w:rStyle w:val="IGPKindeksgrnyipogrubieniekursywa"/>
          <w:b w:val="0"/>
          <w:i w:val="0"/>
          <w:vertAlign w:val="baseline"/>
        </w:rPr>
      </w:pPr>
      <w:r w:rsidRPr="0014086C">
        <w:lastRenderedPageBreak/>
        <w:t>U</w:t>
      </w:r>
      <w:r>
        <w:rPr>
          <w:rStyle w:val="IDindeksdolny"/>
        </w:rPr>
        <w:t>u</w:t>
      </w:r>
      <w:r w:rsidRPr="0014086C">
        <w:rPr>
          <w:rStyle w:val="IDindeksdolny"/>
        </w:rPr>
        <w:t>,i</w:t>
      </w:r>
      <w:r w:rsidRPr="009B39FD">
        <w:rPr>
          <w:rStyle w:val="IDindeksdolny"/>
        </w:rPr>
        <w:t xml:space="preserve"> </w:t>
      </w:r>
      <w:r w:rsidRPr="009B39FD">
        <w:rPr>
          <w:rStyle w:val="IDindeksdolny"/>
          <w:vertAlign w:val="baseline"/>
        </w:rPr>
        <w:t xml:space="preserve">– uzupełniająca liczba </w:t>
      </w:r>
      <w:r w:rsidRPr="00B23424">
        <w:rPr>
          <w:rStyle w:val="IDindeksdolny"/>
          <w:vertAlign w:val="baseline"/>
        </w:rPr>
        <w:t>uczniów obliczona</w:t>
      </w:r>
      <w:r w:rsidRPr="001E60BE">
        <w:rPr>
          <w:rStyle w:val="IDindeksdolny"/>
          <w:vertAlign w:val="baseline"/>
        </w:rPr>
        <w:t xml:space="preserve"> w sposób</w:t>
      </w:r>
      <w:r w:rsidRPr="009B39FD">
        <w:rPr>
          <w:rStyle w:val="IDindeksdolny"/>
          <w:vertAlign w:val="baseline"/>
        </w:rPr>
        <w:t xml:space="preserve"> określony w ust. 2 pkt 4 w publicznych </w:t>
      </w:r>
      <w:r w:rsidRPr="009B39FD">
        <w:rPr>
          <w:rStyle w:val="IGPKindeksgrnyipogrubieniekursywa"/>
          <w:b w:val="0"/>
          <w:i w:val="0"/>
          <w:vertAlign w:val="baseline"/>
        </w:rPr>
        <w:t xml:space="preserve"> szkołach i placówkach, o których mowa w § 1 ust. 2 pkt 1 i 2 rozporządzenia,</w:t>
      </w:r>
    </w:p>
    <w:p w:rsidR="009B39FD" w:rsidRPr="009B39FD" w:rsidRDefault="002D55D4" w:rsidP="009B39FD">
      <w:pPr>
        <w:pStyle w:val="PKTpunkt"/>
        <w:rPr>
          <w:rStyle w:val="IDindeksdolny"/>
        </w:rPr>
      </w:pPr>
    </w:p>
    <w:p w:rsidR="009B39FD" w:rsidRPr="009B39FD" w:rsidRDefault="00201415" w:rsidP="00294907">
      <w:pPr>
        <w:pStyle w:val="LITlitera"/>
        <w:rPr>
          <w:rStyle w:val="IDindeksdolny"/>
          <w:vertAlign w:val="baseline"/>
        </w:rPr>
      </w:pPr>
      <w:r w:rsidRPr="0014086C">
        <w:t>U</w:t>
      </w:r>
      <w:r>
        <w:rPr>
          <w:rStyle w:val="IDindeksdolny"/>
        </w:rPr>
        <w:t>z</w:t>
      </w:r>
      <w:r w:rsidRPr="0014086C">
        <w:rPr>
          <w:rStyle w:val="IDindeksdolny"/>
        </w:rPr>
        <w:t>,i</w:t>
      </w:r>
      <w:r>
        <w:rPr>
          <w:rStyle w:val="IDindeksdolny"/>
        </w:rPr>
        <w:t xml:space="preserve"> </w:t>
      </w:r>
      <w:r w:rsidRPr="00B23424">
        <w:rPr>
          <w:rStyle w:val="IDindeksdolny"/>
          <w:vertAlign w:val="baseline"/>
        </w:rPr>
        <w:t xml:space="preserve">– </w:t>
      </w:r>
      <w:r>
        <w:rPr>
          <w:rStyle w:val="IDindeksdolny"/>
        </w:rPr>
        <w:t xml:space="preserve"> </w:t>
      </w:r>
      <w:r w:rsidRPr="009B39FD">
        <w:rPr>
          <w:rStyle w:val="IDindeksdolny"/>
          <w:vertAlign w:val="baseline"/>
        </w:rPr>
        <w:t xml:space="preserve">przeliczeniowa liczba wychowanków albo dzieci i </w:t>
      </w:r>
      <w:r w:rsidRPr="00B23424">
        <w:rPr>
          <w:rStyle w:val="IDindeksdolny"/>
          <w:vertAlign w:val="baseline"/>
        </w:rPr>
        <w:t>młodzieży obliczona</w:t>
      </w:r>
      <w:r w:rsidRPr="001E60BE">
        <w:rPr>
          <w:rStyle w:val="IDindeksdolny"/>
          <w:vertAlign w:val="baseline"/>
        </w:rPr>
        <w:t xml:space="preserve"> </w:t>
      </w:r>
      <w:r w:rsidRPr="00AE6C90">
        <w:rPr>
          <w:rStyle w:val="IDindeksdolny"/>
          <w:vertAlign w:val="baseline"/>
        </w:rPr>
        <w:t>w</w:t>
      </w:r>
      <w:r w:rsidRPr="009B39FD">
        <w:rPr>
          <w:rStyle w:val="IDindeksdolny"/>
          <w:vertAlign w:val="baseline"/>
        </w:rPr>
        <w:t xml:space="preserve"> sposób określony w ust. 2 pkt 5 w publicznych </w:t>
      </w:r>
      <w:r w:rsidRPr="009B39FD">
        <w:rPr>
          <w:rStyle w:val="IGPKindeksgrnyipogrubieniekursywa"/>
          <w:b w:val="0"/>
          <w:i w:val="0"/>
          <w:vertAlign w:val="baseline"/>
        </w:rPr>
        <w:t xml:space="preserve">szkołach, </w:t>
      </w:r>
      <w:r w:rsidRPr="009B39FD">
        <w:rPr>
          <w:rStyle w:val="IDindeksdolny"/>
          <w:vertAlign w:val="baseline"/>
        </w:rPr>
        <w:t xml:space="preserve">przedszkolach, oddziałach przedszkolnych w szkołach podstawowych, innych formach wychowania przedszkolnego </w:t>
      </w:r>
      <w:r w:rsidRPr="009B39FD">
        <w:rPr>
          <w:rStyle w:val="IGPKindeksgrnyipogrubieniekursywa"/>
          <w:b w:val="0"/>
          <w:i w:val="0"/>
          <w:vertAlign w:val="baseline"/>
        </w:rPr>
        <w:t>i placówkach, o których mowa w § 1 ust. 2 pkt 1 i 2 rozporządzenia,</w:t>
      </w:r>
    </w:p>
    <w:p w:rsidR="009B39FD" w:rsidRPr="009B39FD" w:rsidRDefault="002D55D4" w:rsidP="009B39FD">
      <w:pPr>
        <w:pStyle w:val="PKTpunkt"/>
        <w:rPr>
          <w:rStyle w:val="IDindeksdolny"/>
        </w:rPr>
      </w:pPr>
    </w:p>
    <w:p w:rsidR="00E1764A" w:rsidRPr="00E1764A" w:rsidRDefault="00201415" w:rsidP="00E1764A">
      <w:pPr>
        <w:pStyle w:val="PKTpunkt"/>
      </w:pPr>
      <w:r w:rsidRPr="009B39FD">
        <w:rPr>
          <w:rStyle w:val="IDindeksdolny"/>
          <w:vertAlign w:val="baseline"/>
        </w:rPr>
        <w:t>N</w:t>
      </w:r>
      <w:r w:rsidRPr="009B39FD">
        <w:rPr>
          <w:rStyle w:val="IDindeksdolny"/>
        </w:rPr>
        <w:t>m,i</w:t>
      </w:r>
      <w:r w:rsidRPr="009B39FD">
        <w:rPr>
          <w:rStyle w:val="IDindeksdolny"/>
          <w:vertAlign w:val="baseline"/>
        </w:rPr>
        <w:t xml:space="preserve"> </w:t>
      </w:r>
      <w:r w:rsidRPr="009B39FD">
        <w:t>–</w:t>
      </w:r>
      <w:r w:rsidRPr="009B39FD">
        <w:rPr>
          <w:rStyle w:val="IDindeksdolny"/>
          <w:vertAlign w:val="baseline"/>
        </w:rPr>
        <w:t xml:space="preserve"> liczba uczniów w publicznych</w:t>
      </w:r>
      <w:r w:rsidRPr="009B39FD">
        <w:rPr>
          <w:rStyle w:val="IDindeksdolny"/>
        </w:rPr>
        <w:t xml:space="preserve"> </w:t>
      </w:r>
      <w:r w:rsidRPr="00B47533">
        <w:t>szk</w:t>
      </w:r>
      <w:r>
        <w:t>ołach</w:t>
      </w:r>
      <w:r w:rsidRPr="00484B71">
        <w:t xml:space="preserve"> podstawowych</w:t>
      </w:r>
      <w:r>
        <w:t xml:space="preserve"> dla dzieci i młodzieży, </w:t>
      </w:r>
      <w:r w:rsidRPr="00B47533">
        <w:t xml:space="preserve">ustalona na podstawie danych systemu informacji oświatowej dla bazowego roku szkolnego </w:t>
      </w:r>
      <w:r w:rsidRPr="0012635A">
        <w:t>według stanu na dzień 30 września 2018 r. i dzień 10 października 2018 r.</w:t>
      </w:r>
      <w:r>
        <w:t>, w których</w:t>
      </w:r>
      <w:r w:rsidRPr="003069BD">
        <w:t xml:space="preserve"> iloraz liczby uczniów w szkole i liczby klas w szkole jest niższy lub równy </w:t>
      </w:r>
      <w:r>
        <w:t xml:space="preserve">18 </w:t>
      </w:r>
      <w:r w:rsidRPr="009B39FD">
        <w:rPr>
          <w:rStyle w:val="IGPKindeksgrnyipogrubieniekursywa"/>
          <w:b w:val="0"/>
          <w:i w:val="0"/>
          <w:vertAlign w:val="baseline"/>
        </w:rPr>
        <w:t>w i-tej</w:t>
      </w:r>
      <w:r w:rsidRPr="009B39FD">
        <w:rPr>
          <w:rStyle w:val="IGPKindeksgrnyipogrubieniekursywa"/>
        </w:rPr>
        <w:t xml:space="preserve"> </w:t>
      </w:r>
      <w:r w:rsidRPr="00921394">
        <w:t>jednostce samorządu terytorialnego</w:t>
      </w:r>
      <w:r>
        <w:t xml:space="preserve">, spełniającej kryterium ustalone w sposób: </w:t>
      </w:r>
      <w:r w:rsidRPr="003B790A">
        <w:t>dochody</w:t>
      </w:r>
      <w:r>
        <w:t xml:space="preserve">  wyliczone</w:t>
      </w:r>
      <w:r w:rsidRPr="00E1764A">
        <w:t xml:space="preserve"> odrębnie dla gmin</w:t>
      </w:r>
      <w:r>
        <w:t>y</w:t>
      </w:r>
      <w:r w:rsidRPr="00E1764A">
        <w:t>, powiat</w:t>
      </w:r>
      <w:r>
        <w:t>u</w:t>
      </w:r>
      <w:r w:rsidRPr="00E1764A">
        <w:t xml:space="preserve"> i województw</w:t>
      </w:r>
      <w:r>
        <w:t>a</w:t>
      </w:r>
      <w:r w:rsidRPr="003B790A">
        <w:t xml:space="preserve">, w przeliczeniu na jednego mieszkańca, są niższe </w:t>
      </w:r>
      <w:r w:rsidRPr="00E1764A">
        <w:t xml:space="preserve">od </w:t>
      </w:r>
      <w:r>
        <w:t xml:space="preserve">90% </w:t>
      </w:r>
      <w:r w:rsidRPr="00E1764A">
        <w:t>średnich dochodów odpowiednio wszystk</w:t>
      </w:r>
      <w:r>
        <w:t>ich gmin, powiatów i województw</w:t>
      </w:r>
      <w:r w:rsidRPr="003B790A">
        <w:t>, w przeliczeniu na jednego mieszkańca kraju</w:t>
      </w:r>
      <w:r>
        <w:t xml:space="preserve">; podstawę do wyliczenia dochodów stanowią </w:t>
      </w:r>
      <w:r w:rsidRPr="00E1764A">
        <w:t>w odniesieniu do:</w:t>
      </w:r>
    </w:p>
    <w:p w:rsidR="00E1764A" w:rsidRPr="00E1764A" w:rsidRDefault="00201415" w:rsidP="00294907">
      <w:pPr>
        <w:pStyle w:val="LITlitera"/>
      </w:pPr>
      <w:r w:rsidRPr="00E1764A">
        <w:t xml:space="preserve">1) </w:t>
      </w:r>
      <w:r>
        <w:tab/>
      </w:r>
      <w:r w:rsidRPr="00E1764A">
        <w:t xml:space="preserve">gmin </w:t>
      </w:r>
      <w:r>
        <w:t>–</w:t>
      </w:r>
      <w:r w:rsidRPr="00E1764A">
        <w:t xml:space="preserve"> dochody podatkowe, o których mowa w art. 20 ust. 3</w:t>
      </w:r>
      <w:r>
        <w:t xml:space="preserve"> ustawy </w:t>
      </w:r>
      <w:r w:rsidRPr="008E447F">
        <w:t>z</w:t>
      </w:r>
      <w:r w:rsidRPr="001E60BE">
        <w:t xml:space="preserve"> dnia 13 listopada 2003 r. </w:t>
      </w:r>
      <w:r>
        <w:t>o dochodach jednostek samorządu terytorialnego</w:t>
      </w:r>
      <w:r w:rsidRPr="00E1764A">
        <w:t xml:space="preserve">, za </w:t>
      </w:r>
      <w:r>
        <w:t xml:space="preserve">2017 </w:t>
      </w:r>
      <w:r w:rsidRPr="00E1764A">
        <w:t>r</w:t>
      </w:r>
      <w:r>
        <w:t>.</w:t>
      </w:r>
      <w:r w:rsidRPr="00E1764A">
        <w:t xml:space="preserve"> ustalone z uwzględnieniem art. 32 ust.</w:t>
      </w:r>
      <w:r>
        <w:t xml:space="preserve"> 1 i</w:t>
      </w:r>
      <w:r w:rsidRPr="00E1764A">
        <w:t xml:space="preserve"> 3</w:t>
      </w:r>
      <w:r>
        <w:t xml:space="preserve"> tej </w:t>
      </w:r>
      <w:r w:rsidRPr="00E1764A">
        <w:t>ustawy, powiększone o część wyrównawczą i część równoważącą subwencji ogólnej ustalone na</w:t>
      </w:r>
      <w:r>
        <w:t xml:space="preserve"> 2019</w:t>
      </w:r>
      <w:r w:rsidRPr="00E1764A">
        <w:t xml:space="preserve"> r</w:t>
      </w:r>
      <w:r>
        <w:t>.</w:t>
      </w:r>
      <w:r w:rsidRPr="00E1764A">
        <w:t xml:space="preserve"> i pomniejszone o wpłaty, o których mowa w art. 29</w:t>
      </w:r>
      <w:r>
        <w:t xml:space="preserve"> tej </w:t>
      </w:r>
      <w:r w:rsidRPr="00E1764A">
        <w:t xml:space="preserve">ustawy, ustalone na </w:t>
      </w:r>
      <w:r>
        <w:t xml:space="preserve">2019 </w:t>
      </w:r>
      <w:r w:rsidRPr="00E1764A">
        <w:t>r</w:t>
      </w:r>
      <w:r>
        <w:t>.,</w:t>
      </w:r>
    </w:p>
    <w:p w:rsidR="00E1764A" w:rsidRPr="00E1764A" w:rsidRDefault="00201415" w:rsidP="00294907">
      <w:pPr>
        <w:pStyle w:val="LITlitera"/>
      </w:pPr>
      <w:r w:rsidRPr="00E1764A">
        <w:t xml:space="preserve">2) </w:t>
      </w:r>
      <w:r>
        <w:tab/>
      </w:r>
      <w:r w:rsidRPr="00E1764A">
        <w:t xml:space="preserve">powiatów </w:t>
      </w:r>
      <w:r>
        <w:t>–</w:t>
      </w:r>
      <w:r w:rsidRPr="00E1764A">
        <w:t xml:space="preserve"> dochody podatkowe, o których mowa w art. 22 ust. 3</w:t>
      </w:r>
      <w:r>
        <w:t xml:space="preserve"> </w:t>
      </w:r>
      <w:r w:rsidRPr="00E1764A">
        <w:t xml:space="preserve">ustawy </w:t>
      </w:r>
      <w:r w:rsidRPr="008E447F">
        <w:t>z</w:t>
      </w:r>
      <w:r w:rsidRPr="001E60BE">
        <w:t xml:space="preserve"> dnia 13 listopada 2003 r. </w:t>
      </w:r>
      <w:r w:rsidRPr="00E1764A">
        <w:t xml:space="preserve">o dochodach jednostek samorządu terytorialnego, za </w:t>
      </w:r>
      <w:r>
        <w:t xml:space="preserve">2017 </w:t>
      </w:r>
      <w:r w:rsidRPr="00E1764A">
        <w:t>r</w:t>
      </w:r>
      <w:r>
        <w:t xml:space="preserve">. </w:t>
      </w:r>
      <w:r w:rsidRPr="00B00968">
        <w:t>ustalone z uwzględnieniem art. 32 ust. 1 i 3 tej ustawy</w:t>
      </w:r>
      <w:r w:rsidRPr="00E1764A">
        <w:t xml:space="preserve">, powiększone o część wyrównawczą i część równoważącą subwencji ogólnej ustalone na </w:t>
      </w:r>
      <w:r>
        <w:t xml:space="preserve">2019 </w:t>
      </w:r>
      <w:r w:rsidRPr="00E1764A">
        <w:t>r</w:t>
      </w:r>
      <w:r>
        <w:t>.</w:t>
      </w:r>
      <w:r w:rsidRPr="00E1764A">
        <w:t xml:space="preserve"> i pomniejszone o wpłaty, o których mowa w art. 30 </w:t>
      </w:r>
      <w:r>
        <w:t xml:space="preserve">tej </w:t>
      </w:r>
      <w:r w:rsidRPr="00E1764A">
        <w:t>ustawy, ustalone na</w:t>
      </w:r>
      <w:r>
        <w:t xml:space="preserve"> 2019</w:t>
      </w:r>
      <w:r w:rsidRPr="00E1764A">
        <w:t xml:space="preserve"> r</w:t>
      </w:r>
      <w:r>
        <w:t>.,</w:t>
      </w:r>
    </w:p>
    <w:p w:rsidR="001E60BE" w:rsidRDefault="00201415" w:rsidP="00294907">
      <w:pPr>
        <w:pStyle w:val="LITlitera"/>
      </w:pPr>
      <w:r w:rsidRPr="00E1764A">
        <w:t>3)</w:t>
      </w:r>
      <w:r>
        <w:tab/>
      </w:r>
      <w:r w:rsidRPr="00E1764A">
        <w:t xml:space="preserve">województw </w:t>
      </w:r>
      <w:r>
        <w:t>–</w:t>
      </w:r>
      <w:r w:rsidRPr="00E1764A">
        <w:t xml:space="preserve"> dochody podatkowe, o których mowa w art. 24 ust. 3</w:t>
      </w:r>
      <w:r>
        <w:t xml:space="preserve"> </w:t>
      </w:r>
      <w:r w:rsidRPr="00E1764A">
        <w:t xml:space="preserve">ustawy </w:t>
      </w:r>
      <w:r w:rsidRPr="008E447F">
        <w:t>z</w:t>
      </w:r>
      <w:r w:rsidRPr="001E60BE">
        <w:t xml:space="preserve"> dnia 13 listopada 2003 r. </w:t>
      </w:r>
      <w:r w:rsidRPr="00E1764A">
        <w:t xml:space="preserve">o dochodach jednostek samorządu terytorialnego, za </w:t>
      </w:r>
      <w:r>
        <w:t xml:space="preserve">2017 </w:t>
      </w:r>
      <w:r w:rsidRPr="00E1764A">
        <w:t>r</w:t>
      </w:r>
      <w:r>
        <w:t xml:space="preserve">. </w:t>
      </w:r>
      <w:r w:rsidRPr="00B00968">
        <w:t>ustalone z uwzględnieniem art. 32 ust. 1 i 3 tej ustawy</w:t>
      </w:r>
      <w:r w:rsidRPr="00E1764A">
        <w:t xml:space="preserve">, powiększone o część wyrównawczą i część regionalną subwencji ogólnej ustalone na </w:t>
      </w:r>
      <w:r>
        <w:t xml:space="preserve">2019 </w:t>
      </w:r>
      <w:r w:rsidRPr="00E1764A">
        <w:t>r</w:t>
      </w:r>
      <w:r>
        <w:t>.</w:t>
      </w:r>
      <w:r w:rsidRPr="00E1764A">
        <w:t xml:space="preserve"> i pomniejszone o wpłaty, o których mowa w art. 70a</w:t>
      </w:r>
      <w:r>
        <w:t xml:space="preserve"> tej </w:t>
      </w:r>
      <w:r w:rsidRPr="00E1764A">
        <w:t xml:space="preserve">ustawy, ustalone na </w:t>
      </w:r>
      <w:r>
        <w:t xml:space="preserve">2019 </w:t>
      </w:r>
      <w:r w:rsidRPr="00E1764A">
        <w:t>r</w:t>
      </w:r>
      <w:r>
        <w:t>.;</w:t>
      </w:r>
      <w:r>
        <w:tab/>
        <w:t xml:space="preserve"> </w:t>
      </w:r>
    </w:p>
    <w:p w:rsidR="009B39FD" w:rsidRPr="00247E78" w:rsidRDefault="00201415" w:rsidP="00294907">
      <w:pPr>
        <w:pStyle w:val="LITlitera"/>
      </w:pPr>
      <w:r w:rsidRPr="00247E78">
        <w:lastRenderedPageBreak/>
        <w:t>liczbę uczniów w szkole ustala się z wyłączeniem:</w:t>
      </w:r>
    </w:p>
    <w:p w:rsidR="009B39FD" w:rsidRPr="00921394" w:rsidRDefault="00201415" w:rsidP="009B39FD">
      <w:pPr>
        <w:pStyle w:val="LITlitera"/>
      </w:pPr>
      <w:r>
        <w:t>1</w:t>
      </w:r>
      <w:r w:rsidRPr="00921394">
        <w:t>)</w:t>
      </w:r>
      <w:r>
        <w:tab/>
      </w:r>
      <w:r w:rsidRPr="00921394">
        <w:t xml:space="preserve">uczniów oddziałów i szkół z nauczaniem w języku mniejszości narodowej, mniejszości etnicznej lub </w:t>
      </w:r>
      <w:r>
        <w:t xml:space="preserve">w </w:t>
      </w:r>
      <w:r w:rsidRPr="00921394">
        <w:t>języku regionalnym oraz uczniów oddziałów i szkół, w których zajęcia edukacyjne są prowadzone w dwóch językach: polskim oraz języku mniejszości narodowej, mniejszości etnicznej lub języku regionalnym, będącym drugim językiem nauczania, oraz</w:t>
      </w:r>
    </w:p>
    <w:p w:rsidR="009B39FD" w:rsidRDefault="00201415" w:rsidP="009B39FD">
      <w:pPr>
        <w:pStyle w:val="LITlitera"/>
      </w:pPr>
      <w:r>
        <w:t>2</w:t>
      </w:r>
      <w:r w:rsidRPr="00921394">
        <w:t>)</w:t>
      </w:r>
      <w:r>
        <w:tab/>
      </w:r>
      <w:r w:rsidRPr="00921394">
        <w:t>uczniów szkół i oddziałów specjalnych</w:t>
      </w:r>
      <w:r>
        <w:t>,</w:t>
      </w:r>
    </w:p>
    <w:p w:rsidR="009B39FD" w:rsidRPr="009B39FD" w:rsidRDefault="002D55D4" w:rsidP="009B39FD">
      <w:pPr>
        <w:pStyle w:val="LITlitera"/>
        <w:rPr>
          <w:rStyle w:val="IDindeksdolny"/>
        </w:rPr>
      </w:pPr>
    </w:p>
    <w:p w:rsidR="009B39FD" w:rsidRPr="009B39FD" w:rsidRDefault="00201415" w:rsidP="00AE6C90">
      <w:pPr>
        <w:pStyle w:val="PKTpunkt"/>
        <w:rPr>
          <w:rStyle w:val="IDindeksdolny"/>
        </w:rPr>
      </w:pPr>
      <w:r w:rsidRPr="009B39FD">
        <w:rPr>
          <w:rStyle w:val="IDindeksdolny"/>
          <w:vertAlign w:val="baseline"/>
        </w:rPr>
        <w:t>P</w:t>
      </w:r>
      <w:r w:rsidRPr="009B39FD">
        <w:rPr>
          <w:rStyle w:val="IDindeksdolny"/>
        </w:rPr>
        <w:t>m</w:t>
      </w:r>
      <w:r w:rsidRPr="009B39FD">
        <w:rPr>
          <w:rStyle w:val="IDindeksdolny"/>
          <w:vertAlign w:val="baseline"/>
        </w:rPr>
        <w:t xml:space="preserve"> </w:t>
      </w:r>
      <w:r w:rsidRPr="009B39FD">
        <w:t>–</w:t>
      </w:r>
      <w:r w:rsidRPr="009B39FD">
        <w:rPr>
          <w:rStyle w:val="IDindeksdolny"/>
          <w:vertAlign w:val="baseline"/>
        </w:rPr>
        <w:t xml:space="preserve"> waga o wartości 1,4 dla </w:t>
      </w:r>
      <w:r w:rsidRPr="00AE6C90">
        <w:rPr>
          <w:rStyle w:val="IDindeksdolny"/>
          <w:vertAlign w:val="baseline"/>
        </w:rPr>
        <w:t>uczniów</w:t>
      </w:r>
      <w:r w:rsidRPr="00294907">
        <w:rPr>
          <w:rStyle w:val="IDindeksdolny"/>
          <w:vertAlign w:val="baseline"/>
        </w:rPr>
        <w:t xml:space="preserve"> publicznych szkół podstawowych</w:t>
      </w:r>
      <w:r w:rsidRPr="00AE6C90">
        <w:rPr>
          <w:rStyle w:val="IDindeksdolny"/>
          <w:vertAlign w:val="baseline"/>
        </w:rPr>
        <w:t xml:space="preserve"> </w:t>
      </w:r>
      <w:r w:rsidRPr="00294907">
        <w:rPr>
          <w:rStyle w:val="IDindeksdolny"/>
          <w:vertAlign w:val="baseline"/>
        </w:rPr>
        <w:t>dla dzieci i młodzieży</w:t>
      </w:r>
      <w:r>
        <w:rPr>
          <w:rStyle w:val="IDindeksdolny"/>
        </w:rPr>
        <w:t xml:space="preserve"> </w:t>
      </w:r>
      <w:r w:rsidRPr="009B39FD">
        <w:rPr>
          <w:rStyle w:val="IDindeksdolny"/>
          <w:vertAlign w:val="baseline"/>
        </w:rPr>
        <w:t>oznaczonych N</w:t>
      </w:r>
      <w:r w:rsidRPr="00C416B9">
        <w:rPr>
          <w:rStyle w:val="IDindeksdolny"/>
        </w:rPr>
        <w:t>m,i</w:t>
      </w:r>
      <w:r w:rsidRPr="009B39FD">
        <w:rPr>
          <w:rStyle w:val="IDindeksdolny"/>
          <w:vertAlign w:val="baseline"/>
        </w:rPr>
        <w:t xml:space="preserve">, </w:t>
      </w:r>
    </w:p>
    <w:p w:rsidR="009B39FD" w:rsidRDefault="002D55D4" w:rsidP="009B39FD">
      <w:pPr>
        <w:pStyle w:val="PKTpunkt"/>
        <w:rPr>
          <w:rStyle w:val="IDindeksdolny"/>
        </w:rPr>
      </w:pPr>
    </w:p>
    <w:p w:rsidR="009B39FD" w:rsidRPr="009B39FD" w:rsidRDefault="002D55D4" w:rsidP="009B39FD">
      <w:pPr>
        <w:pStyle w:val="PKTpunk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a,i</m:t>
            </m:r>
          </m:sub>
        </m:sSub>
      </m:oMath>
      <w:r w:rsidR="00201415" w:rsidRPr="00C416B9">
        <w:t xml:space="preserve"> – wskaźnik obliczony w sposób określony w ust. 2 pkt 6, z uwzględnieniem średniego wynagrodzenia nauczycieli ustalonego w sposób określony w art. 30 ust. 3 ustawy z dnia 26 stycznia 1982 r. – Karta Nauczyciela</w:t>
      </w:r>
      <w:r w:rsidR="00201415">
        <w:t>, zwiększonego o 9,6%;</w:t>
      </w:r>
      <w:r w:rsidR="00201415" w:rsidRPr="006D30ED">
        <w:t xml:space="preserve"> przy obliczaniu wskaźnika bierze się pod uwagę wyłącznie liczbę uczniów</w:t>
      </w:r>
      <w:r w:rsidR="00201415">
        <w:t>,</w:t>
      </w:r>
      <w:r w:rsidR="00201415" w:rsidRPr="006D30ED">
        <w:t xml:space="preserve"> dzieci i młodzieży L</w:t>
      </w:r>
      <w:r w:rsidR="00201415" w:rsidRPr="006D30ED">
        <w:rPr>
          <w:rStyle w:val="IDindeksdolny"/>
        </w:rPr>
        <w:t>w,i</w:t>
      </w:r>
      <w:r w:rsidR="00201415" w:rsidRPr="006D30ED">
        <w:t xml:space="preserve"> i L</w:t>
      </w:r>
      <w:r w:rsidR="00201415" w:rsidRPr="006D30ED">
        <w:rPr>
          <w:rStyle w:val="IDindeksdolny"/>
        </w:rPr>
        <w:t>i</w:t>
      </w:r>
      <w:r w:rsidR="00201415" w:rsidRPr="006D30ED">
        <w:t xml:space="preserve"> </w:t>
      </w:r>
      <w:r w:rsidR="00201415" w:rsidRPr="009B39FD">
        <w:rPr>
          <w:rStyle w:val="IDindeksdolny"/>
          <w:vertAlign w:val="baseline"/>
        </w:rPr>
        <w:t>w publicznych szkołach, przedszkolach, oddziałach przedszkolnych w szkołach podstawowych i innych formach wychowania przedszkolnego,</w:t>
      </w:r>
      <w:r w:rsidR="00201415" w:rsidRPr="009B39FD">
        <w:t xml:space="preserve"> </w:t>
      </w:r>
    </w:p>
    <w:p w:rsidR="009B39FD" w:rsidRDefault="002D55D4" w:rsidP="009B39FD">
      <w:pPr>
        <w:pStyle w:val="PKTpunkt"/>
        <w:rPr>
          <w:rStyle w:val="IDindeksdolny"/>
        </w:rPr>
      </w:pPr>
    </w:p>
    <w:p w:rsidR="009B39FD" w:rsidRPr="00C416B9" w:rsidRDefault="00201415" w:rsidP="009B39FD">
      <w:pPr>
        <w:pStyle w:val="PKTpunkt"/>
        <w:rPr>
          <w:rStyle w:val="IDindeksdolny"/>
        </w:rPr>
      </w:pPr>
      <w:r w:rsidRPr="009B39FD">
        <w:rPr>
          <w:rStyle w:val="IDindeksdolny"/>
          <w:vertAlign w:val="baseline"/>
        </w:rPr>
        <w:t>E</w:t>
      </w:r>
      <w:r w:rsidRPr="00C416B9">
        <w:rPr>
          <w:rStyle w:val="IDindeksdolny"/>
        </w:rPr>
        <w:t>s,i</w:t>
      </w:r>
      <w:r w:rsidRPr="009B39FD">
        <w:rPr>
          <w:rStyle w:val="IDindeksdolny"/>
        </w:rPr>
        <w:t xml:space="preserve"> </w:t>
      </w:r>
      <w:r w:rsidRPr="00C416B9">
        <w:t>– liczba</w:t>
      </w:r>
      <w:r w:rsidRPr="00C416B9">
        <w:rPr>
          <w:rStyle w:val="IDindeksdolny"/>
        </w:rPr>
        <w:t xml:space="preserve"> </w:t>
      </w:r>
      <w:r w:rsidRPr="00C416B9">
        <w:t>nauczycieli stażystów zatrudnionych w przedszkolach, szkołach i placówkach wymienionych w art. 1 ust. 1 ustawy z dnia 26 stycznia 1982 r. – Karta Nauczyciela, dla których organem prowadzącym jest i-ta jednostka samorządu terytorialnego, w łącznym wymiarze co najmniej ½ obowiązkowego wymiaru zajęć, z wyłączeniem liczby nauczycieli zatrudnionych na podstawie art. 10 ust. 9 ustawy z dnia 26 stycznia 1982 r. – Karta Nauczyciela, ustalona na podstawie danych systemu informacji oświatowej według stanu na dzień 30 września 2018 r. i dzień 10 października 2018 r. w i-tej jednostce samorządu terytorialnego</w:t>
      </w:r>
      <w:r>
        <w:t>,</w:t>
      </w:r>
    </w:p>
    <w:p w:rsidR="009B39FD" w:rsidRPr="009B39FD" w:rsidRDefault="002D55D4" w:rsidP="009B39FD">
      <w:pPr>
        <w:pStyle w:val="PKTpunkt"/>
        <w:rPr>
          <w:rStyle w:val="IDindeksdolny"/>
        </w:rPr>
      </w:pPr>
    </w:p>
    <w:p w:rsidR="009B39FD" w:rsidRPr="009B39FD" w:rsidRDefault="00201415" w:rsidP="009B39FD">
      <w:pPr>
        <w:pStyle w:val="PKTpunkt"/>
      </w:pPr>
      <w:r w:rsidRPr="009B39FD">
        <w:rPr>
          <w:rStyle w:val="IDindeksdolny"/>
          <w:vertAlign w:val="baseline"/>
        </w:rPr>
        <w:t>P</w:t>
      </w:r>
      <w:r w:rsidRPr="009B39FD">
        <w:rPr>
          <w:rStyle w:val="IDindeksdolny"/>
        </w:rPr>
        <w:t>s</w:t>
      </w:r>
      <w:r w:rsidRPr="009B39FD">
        <w:rPr>
          <w:rStyle w:val="IDindeksdolny"/>
          <w:vertAlign w:val="baseline"/>
        </w:rPr>
        <w:t xml:space="preserve"> </w:t>
      </w:r>
      <w:r w:rsidRPr="009B39FD">
        <w:t>–</w:t>
      </w:r>
      <w:r w:rsidRPr="009B39FD">
        <w:rPr>
          <w:rStyle w:val="IDindeksdolny"/>
          <w:vertAlign w:val="baseline"/>
        </w:rPr>
        <w:t xml:space="preserve"> waga  o wartości 9,8 dla nauczycieli oznaczonych E</w:t>
      </w:r>
      <w:r w:rsidRPr="009B39FD">
        <w:rPr>
          <w:rStyle w:val="IDindeksdolny"/>
        </w:rPr>
        <w:t>s,i</w:t>
      </w:r>
      <w:r w:rsidRPr="009B39FD">
        <w:rPr>
          <w:rStyle w:val="IDindeksdolny"/>
          <w:vertAlign w:val="baseline"/>
        </w:rPr>
        <w:t>;</w:t>
      </w:r>
    </w:p>
    <w:p w:rsidR="009B39FD" w:rsidRDefault="002D55D4" w:rsidP="009B39FD">
      <w:pPr>
        <w:pStyle w:val="PKTpunkt"/>
      </w:pPr>
    </w:p>
    <w:p w:rsidR="009B39FD" w:rsidRPr="009B39FD" w:rsidRDefault="00201415" w:rsidP="009B39FD">
      <w:pPr>
        <w:pStyle w:val="PKTpunkt"/>
        <w:rPr>
          <w:rStyle w:val="IDindeksdolny"/>
          <w:vertAlign w:val="baseline"/>
        </w:rPr>
      </w:pPr>
      <w:r w:rsidRPr="009B39FD">
        <w:rPr>
          <w:rStyle w:val="IDindeksdolny"/>
          <w:vertAlign w:val="baseline"/>
        </w:rPr>
        <w:t>4)</w:t>
      </w:r>
      <w:r>
        <w:rPr>
          <w:rStyle w:val="IDindeksdolny"/>
        </w:rPr>
        <w:tab/>
      </w:r>
      <w:r w:rsidRPr="009B39FD">
        <w:rPr>
          <w:rStyle w:val="IDindeksdolny"/>
          <w:vertAlign w:val="baseline"/>
        </w:rPr>
        <w:t>U</w:t>
      </w:r>
      <w:r w:rsidRPr="009B39FD">
        <w:rPr>
          <w:rStyle w:val="IDindeksdolny"/>
        </w:rPr>
        <w:t>t</w:t>
      </w:r>
      <w:r w:rsidRPr="009B39FD">
        <w:rPr>
          <w:rStyle w:val="IDindeksdolny"/>
          <w:vertAlign w:val="baseline"/>
        </w:rPr>
        <w:t xml:space="preserve"> </w:t>
      </w:r>
      <w:r w:rsidRPr="009B39FD">
        <w:t>–</w:t>
      </w:r>
      <w:r w:rsidRPr="009B39FD">
        <w:rPr>
          <w:rStyle w:val="IDindeksdolny"/>
          <w:vertAlign w:val="baseline"/>
        </w:rPr>
        <w:t xml:space="preserve"> suma liczby uczniów U</w:t>
      </w:r>
      <w:r w:rsidRPr="009B39FD">
        <w:rPr>
          <w:rStyle w:val="IDindeksdolny"/>
        </w:rPr>
        <w:t xml:space="preserve">t,i </w:t>
      </w:r>
      <w:r w:rsidRPr="009B39FD">
        <w:rPr>
          <w:rStyle w:val="IDindeksdolny"/>
          <w:vertAlign w:val="baseline"/>
        </w:rPr>
        <w:t>dla wszystkich jednostek samorządu terytorialnego,</w:t>
      </w:r>
      <w:r w:rsidRPr="009B39FD">
        <w:t xml:space="preserve"> obliczana według wzoru:</w:t>
      </w:r>
    </w:p>
    <w:p w:rsidR="009B39FD" w:rsidRPr="004B7258" w:rsidRDefault="002D55D4" w:rsidP="009B39FD">
      <w:pPr>
        <w:pStyle w:val="WMATFIZCHEMwzrmatfizlubchem"/>
      </w:pPr>
    </w:p>
    <w:p w:rsidR="00AE6C90" w:rsidRDefault="002D55D4" w:rsidP="009B39FD">
      <w:pPr>
        <w:pStyle w:val="WMATFIZCHEMwzrmatfizlubchem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Ls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:rsidR="009B39FD" w:rsidRDefault="002D55D4" w:rsidP="009B39FD">
      <w:pPr>
        <w:pStyle w:val="WMATFIZCHEMwzrmatfizlubchem"/>
      </w:pPr>
    </w:p>
    <w:p w:rsidR="00AE6C90" w:rsidRDefault="00201415" w:rsidP="00294907">
      <w:pPr>
        <w:pStyle w:val="PKTpunkt"/>
      </w:pPr>
      <w:r>
        <w:t xml:space="preserve">gdzie </w:t>
      </w:r>
      <w:r w:rsidRPr="00B47533">
        <w:t>U</w:t>
      </w:r>
      <w:r w:rsidRPr="00AE6C90">
        <w:rPr>
          <w:rStyle w:val="IDindeksdolny"/>
        </w:rPr>
        <w:t>t,i</w:t>
      </w:r>
      <w:r>
        <w:t xml:space="preserve"> jest obliczane w sposób określony w pkt 3.</w:t>
      </w:r>
    </w:p>
    <w:p w:rsidR="009B39FD" w:rsidRPr="007B386B" w:rsidRDefault="00201415" w:rsidP="009B39FD">
      <w:pPr>
        <w:pStyle w:val="ARTartustawynprozporzdzenia"/>
      </w:pPr>
      <w:r w:rsidRPr="00660AEB">
        <w:rPr>
          <w:rStyle w:val="Ppogrubienie"/>
        </w:rPr>
        <w:t>§ </w:t>
      </w:r>
      <w:r>
        <w:rPr>
          <w:rStyle w:val="Ppogrubienie"/>
        </w:rPr>
        <w:t>2</w:t>
      </w:r>
      <w:r w:rsidRPr="00660AEB">
        <w:rPr>
          <w:rStyle w:val="Ppogrubienie"/>
        </w:rPr>
        <w:t>.</w:t>
      </w:r>
      <w:r w:rsidRPr="007B386B">
        <w:t xml:space="preserve"> Rozporządzenie wchodzi w życie </w:t>
      </w:r>
      <w:r w:rsidRPr="009B20FB">
        <w:t xml:space="preserve">z dniem </w:t>
      </w:r>
      <w:r>
        <w:t>1 września 2019 r.</w:t>
      </w:r>
      <w:r w:rsidRPr="00FE2EA4">
        <w:t> </w:t>
      </w:r>
    </w:p>
    <w:p w:rsidR="009B39FD" w:rsidRPr="008E447F" w:rsidRDefault="002D55D4" w:rsidP="009B39FD">
      <w:pPr>
        <w:pStyle w:val="ARTartustawynprozporzdzenia"/>
      </w:pPr>
    </w:p>
    <w:p w:rsidR="009B39FD" w:rsidRPr="009B39FD" w:rsidRDefault="00201415" w:rsidP="009B39FD">
      <w:pPr>
        <w:pStyle w:val="NAZORGWYDnazwaorganuwydajcegoprojektowanyakt"/>
        <w:rPr>
          <w:rStyle w:val="Ppogrubienie"/>
        </w:rPr>
      </w:pPr>
      <w:r w:rsidRPr="008E447F">
        <w:t>MINISTER EDUKACJI NARODOWEJ</w:t>
      </w:r>
    </w:p>
    <w:p w:rsidR="00C91B2C" w:rsidRPr="007B386B" w:rsidRDefault="00201415" w:rsidP="00C91B2C">
      <w:pPr>
        <w:pStyle w:val="ARTartustawynprozporzdzenia"/>
      </w:pPr>
      <w:r w:rsidRPr="00FE2EA4">
        <w:t> </w:t>
      </w:r>
    </w:p>
    <w:p w:rsidR="00905DE5" w:rsidRDefault="002D55D4" w:rsidP="00737F6A"/>
    <w:p w:rsidR="00CC478F" w:rsidRPr="00737F6A" w:rsidRDefault="00201415" w:rsidP="00737F6A">
      <w:r w:rsidRPr="00A629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152400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29FB" w:rsidRDefault="00201415" w:rsidP="00A629FB">
                            <w:pPr>
                              <w:jc w:val="center"/>
                            </w:pPr>
                            <w:r w:rsidRPr="00CC478F">
                              <w:t>Za zgodność pod względem</w:t>
                            </w:r>
                            <w:r>
                              <w:br/>
                            </w:r>
                            <w:r w:rsidRPr="008524A6">
                              <w:t>prawnym, legislacyjnym i redakcyjnym</w:t>
                            </w:r>
                          </w:p>
                          <w:p w:rsidR="00A629FB" w:rsidRDefault="00201415" w:rsidP="00A629FB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1" w:name="ezdPracownikNazwa"/>
                            <w:r>
                              <w:rPr>
                                <w:rFonts w:cs="Times New Roman"/>
                                <w:sz w:val="22"/>
                              </w:rPr>
                              <w:t>Andrzej Barański</w:t>
                            </w:r>
                            <w:bookmarkEnd w:id="1"/>
                          </w:p>
                          <w:p w:rsidR="00A629FB" w:rsidRDefault="00201415" w:rsidP="00A629FB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2" w:name="ezdPracownikStanowisko"/>
                            <w:r>
                              <w:rPr>
                                <w:rFonts w:cs="Times New Roman"/>
                                <w:sz w:val="22"/>
                              </w:rPr>
                              <w:t>Zastępca Dyrektora</w:t>
                            </w:r>
                            <w:bookmarkEnd w:id="2"/>
                            <w:r>
                              <w:rPr>
                                <w:rFonts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7.91pt;margin-left:12pt;margin-top:12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A629FB" w:rsidP="00A629FB">
                      <w:pPr>
                        <w:jc w:val="center"/>
                      </w:pPr>
                      <w:r w:rsidRPr="00CC478F">
                        <w:t>Za zgodność pod względem</w:t>
                      </w:r>
                      <w:r>
                        <w:br/>
                      </w:r>
                      <w:r w:rsidRPr="008524A6">
                        <w:t>prawnym, legislacyjnym i redakcyjnym</w:t>
                      </w:r>
                    </w:p>
                    <w:p w:rsidR="00A629FB" w:rsidP="00A629FB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1" w:name="ezdPracownikNazwa"/>
                      <w:r>
                        <w:rPr>
                          <w:rFonts w:cs="Times New Roman"/>
                          <w:sz w:val="22"/>
                        </w:rPr>
                        <w:t>Andrzej Barański</w:t>
                      </w:r>
                      <w:bookmarkEnd w:id="1"/>
                    </w:p>
                    <w:p w:rsidR="00A629FB" w:rsidP="00A629FB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2" w:name="ezdPracownikStanowisko"/>
                      <w:r>
                        <w:rPr>
                          <w:rFonts w:cs="Times New Roman"/>
                          <w:sz w:val="22"/>
                        </w:rPr>
                        <w:t>Zastępca Dyrektora</w:t>
                      </w:r>
                      <w:bookmarkEnd w:id="2"/>
                      <w:r>
                        <w:rPr>
                          <w:rFonts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478F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5D4" w:rsidRDefault="002D55D4">
      <w:pPr>
        <w:spacing w:line="240" w:lineRule="auto"/>
      </w:pPr>
      <w:r>
        <w:separator/>
      </w:r>
    </w:p>
  </w:endnote>
  <w:endnote w:type="continuationSeparator" w:id="0">
    <w:p w:rsidR="002D55D4" w:rsidRDefault="002D5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5D4" w:rsidRDefault="002D55D4">
      <w:r>
        <w:separator/>
      </w:r>
    </w:p>
  </w:footnote>
  <w:footnote w:type="continuationSeparator" w:id="0">
    <w:p w:rsidR="002D55D4" w:rsidRDefault="002D55D4">
      <w:r>
        <w:continuationSeparator/>
      </w:r>
    </w:p>
  </w:footnote>
  <w:footnote w:id="1">
    <w:p w:rsidR="009B39FD" w:rsidRDefault="00201415" w:rsidP="009B39FD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9A4F81">
        <w:t>Minister Edukacji Narodowej kieruje działem administracji rządowej – oświata</w:t>
      </w:r>
      <w:r>
        <w:t xml:space="preserve"> i wychowanie, na podstawie § 1 </w:t>
      </w:r>
      <w:r w:rsidRPr="009A4F81">
        <w:t xml:space="preserve">ust. 2 rozporządzenia Prezesa Rady Ministrów z dnia </w:t>
      </w:r>
      <w:r>
        <w:t>6 czerwca</w:t>
      </w:r>
      <w:r w:rsidRPr="009A4F81">
        <w:t xml:space="preserve"> 201</w:t>
      </w:r>
      <w:r>
        <w:t>9</w:t>
      </w:r>
      <w:r w:rsidRPr="009A4F81">
        <w:t xml:space="preserve"> r. w sprawie szczegółowego zakresu działania Ministra Edukacji Narodowej (Dz. U. poz. </w:t>
      </w:r>
      <w:r>
        <w:t>105</w:t>
      </w:r>
      <w:r w:rsidRPr="009A4F81">
        <w:t>5).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201415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41394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2F005F84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B7F0F4D0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975C4A9E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8FABC5C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92CC19F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E4D8BC6C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330C4A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CB4B48A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804A1796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385442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3E3338" w:tentative="1">
      <w:start w:val="1"/>
      <w:numFmt w:val="lowerLetter"/>
      <w:lvlText w:val="%2."/>
      <w:lvlJc w:val="left"/>
      <w:pPr>
        <w:ind w:left="1440" w:hanging="360"/>
      </w:pPr>
    </w:lvl>
    <w:lvl w:ilvl="2" w:tplc="71C4F110" w:tentative="1">
      <w:start w:val="1"/>
      <w:numFmt w:val="lowerRoman"/>
      <w:lvlText w:val="%3."/>
      <w:lvlJc w:val="right"/>
      <w:pPr>
        <w:ind w:left="2160" w:hanging="180"/>
      </w:pPr>
    </w:lvl>
    <w:lvl w:ilvl="3" w:tplc="89701E84" w:tentative="1">
      <w:start w:val="1"/>
      <w:numFmt w:val="decimal"/>
      <w:lvlText w:val="%4."/>
      <w:lvlJc w:val="left"/>
      <w:pPr>
        <w:ind w:left="2880" w:hanging="360"/>
      </w:pPr>
    </w:lvl>
    <w:lvl w:ilvl="4" w:tplc="32B6E82C" w:tentative="1">
      <w:start w:val="1"/>
      <w:numFmt w:val="lowerLetter"/>
      <w:lvlText w:val="%5."/>
      <w:lvlJc w:val="left"/>
      <w:pPr>
        <w:ind w:left="3600" w:hanging="360"/>
      </w:pPr>
    </w:lvl>
    <w:lvl w:ilvl="5" w:tplc="840AF946" w:tentative="1">
      <w:start w:val="1"/>
      <w:numFmt w:val="lowerRoman"/>
      <w:lvlText w:val="%6."/>
      <w:lvlJc w:val="right"/>
      <w:pPr>
        <w:ind w:left="4320" w:hanging="180"/>
      </w:pPr>
    </w:lvl>
    <w:lvl w:ilvl="6" w:tplc="9EB4E994" w:tentative="1">
      <w:start w:val="1"/>
      <w:numFmt w:val="decimal"/>
      <w:lvlText w:val="%7."/>
      <w:lvlJc w:val="left"/>
      <w:pPr>
        <w:ind w:left="5040" w:hanging="360"/>
      </w:pPr>
    </w:lvl>
    <w:lvl w:ilvl="7" w:tplc="77767EE4" w:tentative="1">
      <w:start w:val="1"/>
      <w:numFmt w:val="lowerLetter"/>
      <w:lvlText w:val="%8."/>
      <w:lvlJc w:val="left"/>
      <w:pPr>
        <w:ind w:left="5760" w:hanging="360"/>
      </w:pPr>
    </w:lvl>
    <w:lvl w:ilvl="8" w:tplc="6D000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03FC5408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1F02EE5C" w:tentative="1">
      <w:start w:val="1"/>
      <w:numFmt w:val="lowerLetter"/>
      <w:lvlText w:val="%2."/>
      <w:lvlJc w:val="left"/>
      <w:pPr>
        <w:ind w:left="2463" w:hanging="360"/>
      </w:pPr>
    </w:lvl>
    <w:lvl w:ilvl="2" w:tplc="FF4A4A20" w:tentative="1">
      <w:start w:val="1"/>
      <w:numFmt w:val="lowerRoman"/>
      <w:lvlText w:val="%3."/>
      <w:lvlJc w:val="right"/>
      <w:pPr>
        <w:ind w:left="3183" w:hanging="180"/>
      </w:pPr>
    </w:lvl>
    <w:lvl w:ilvl="3" w:tplc="145C7BEA" w:tentative="1">
      <w:start w:val="1"/>
      <w:numFmt w:val="decimal"/>
      <w:lvlText w:val="%4."/>
      <w:lvlJc w:val="left"/>
      <w:pPr>
        <w:ind w:left="3903" w:hanging="360"/>
      </w:pPr>
    </w:lvl>
    <w:lvl w:ilvl="4" w:tplc="57CCB43A" w:tentative="1">
      <w:start w:val="1"/>
      <w:numFmt w:val="lowerLetter"/>
      <w:lvlText w:val="%5."/>
      <w:lvlJc w:val="left"/>
      <w:pPr>
        <w:ind w:left="4623" w:hanging="360"/>
      </w:pPr>
    </w:lvl>
    <w:lvl w:ilvl="5" w:tplc="93A81998" w:tentative="1">
      <w:start w:val="1"/>
      <w:numFmt w:val="lowerRoman"/>
      <w:lvlText w:val="%6."/>
      <w:lvlJc w:val="right"/>
      <w:pPr>
        <w:ind w:left="5343" w:hanging="180"/>
      </w:pPr>
    </w:lvl>
    <w:lvl w:ilvl="6" w:tplc="4EFC77E8" w:tentative="1">
      <w:start w:val="1"/>
      <w:numFmt w:val="decimal"/>
      <w:lvlText w:val="%7."/>
      <w:lvlJc w:val="left"/>
      <w:pPr>
        <w:ind w:left="6063" w:hanging="360"/>
      </w:pPr>
    </w:lvl>
    <w:lvl w:ilvl="7" w:tplc="76DC68EC" w:tentative="1">
      <w:start w:val="1"/>
      <w:numFmt w:val="lowerLetter"/>
      <w:lvlText w:val="%8."/>
      <w:lvlJc w:val="left"/>
      <w:pPr>
        <w:ind w:left="6783" w:hanging="360"/>
      </w:pPr>
    </w:lvl>
    <w:lvl w:ilvl="8" w:tplc="B85E9EAE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E8D2808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89502910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9C0A918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28443A4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9AC488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584E3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A6581D3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E9D637F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A4D4F26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F5CC38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6E5052F0" w:tentative="1">
      <w:start w:val="1"/>
      <w:numFmt w:val="lowerLetter"/>
      <w:lvlText w:val="%2."/>
      <w:lvlJc w:val="left"/>
      <w:pPr>
        <w:ind w:left="1440" w:hanging="360"/>
      </w:pPr>
    </w:lvl>
    <w:lvl w:ilvl="2" w:tplc="14567EE6" w:tentative="1">
      <w:start w:val="1"/>
      <w:numFmt w:val="lowerRoman"/>
      <w:lvlText w:val="%3."/>
      <w:lvlJc w:val="right"/>
      <w:pPr>
        <w:ind w:left="2160" w:hanging="180"/>
      </w:pPr>
    </w:lvl>
    <w:lvl w:ilvl="3" w:tplc="C89A72B2" w:tentative="1">
      <w:start w:val="1"/>
      <w:numFmt w:val="decimal"/>
      <w:lvlText w:val="%4."/>
      <w:lvlJc w:val="left"/>
      <w:pPr>
        <w:ind w:left="2880" w:hanging="360"/>
      </w:pPr>
    </w:lvl>
    <w:lvl w:ilvl="4" w:tplc="AA7CF9AC" w:tentative="1">
      <w:start w:val="1"/>
      <w:numFmt w:val="lowerLetter"/>
      <w:lvlText w:val="%5."/>
      <w:lvlJc w:val="left"/>
      <w:pPr>
        <w:ind w:left="3600" w:hanging="360"/>
      </w:pPr>
    </w:lvl>
    <w:lvl w:ilvl="5" w:tplc="C86698FE" w:tentative="1">
      <w:start w:val="1"/>
      <w:numFmt w:val="lowerRoman"/>
      <w:lvlText w:val="%6."/>
      <w:lvlJc w:val="right"/>
      <w:pPr>
        <w:ind w:left="4320" w:hanging="180"/>
      </w:pPr>
    </w:lvl>
    <w:lvl w:ilvl="6" w:tplc="F4B0BE42" w:tentative="1">
      <w:start w:val="1"/>
      <w:numFmt w:val="decimal"/>
      <w:lvlText w:val="%7."/>
      <w:lvlJc w:val="left"/>
      <w:pPr>
        <w:ind w:left="5040" w:hanging="360"/>
      </w:pPr>
    </w:lvl>
    <w:lvl w:ilvl="7" w:tplc="6FE4063E" w:tentative="1">
      <w:start w:val="1"/>
      <w:numFmt w:val="lowerLetter"/>
      <w:lvlText w:val="%8."/>
      <w:lvlJc w:val="left"/>
      <w:pPr>
        <w:ind w:left="5760" w:hanging="360"/>
      </w:pPr>
    </w:lvl>
    <w:lvl w:ilvl="8" w:tplc="D4708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E0BC0BD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66F2D6BC" w:tentative="1">
      <w:start w:val="1"/>
      <w:numFmt w:val="lowerLetter"/>
      <w:lvlText w:val="%2."/>
      <w:lvlJc w:val="left"/>
      <w:pPr>
        <w:ind w:left="3348" w:hanging="360"/>
      </w:pPr>
    </w:lvl>
    <w:lvl w:ilvl="2" w:tplc="71ECEF78" w:tentative="1">
      <w:start w:val="1"/>
      <w:numFmt w:val="lowerRoman"/>
      <w:lvlText w:val="%3."/>
      <w:lvlJc w:val="right"/>
      <w:pPr>
        <w:ind w:left="4068" w:hanging="180"/>
      </w:pPr>
    </w:lvl>
    <w:lvl w:ilvl="3" w:tplc="7E2499CA" w:tentative="1">
      <w:start w:val="1"/>
      <w:numFmt w:val="decimal"/>
      <w:lvlText w:val="%4."/>
      <w:lvlJc w:val="left"/>
      <w:pPr>
        <w:ind w:left="4788" w:hanging="360"/>
      </w:pPr>
    </w:lvl>
    <w:lvl w:ilvl="4" w:tplc="79681C36" w:tentative="1">
      <w:start w:val="1"/>
      <w:numFmt w:val="lowerLetter"/>
      <w:lvlText w:val="%5."/>
      <w:lvlJc w:val="left"/>
      <w:pPr>
        <w:ind w:left="5508" w:hanging="360"/>
      </w:pPr>
    </w:lvl>
    <w:lvl w:ilvl="5" w:tplc="A5287260" w:tentative="1">
      <w:start w:val="1"/>
      <w:numFmt w:val="lowerRoman"/>
      <w:lvlText w:val="%6."/>
      <w:lvlJc w:val="right"/>
      <w:pPr>
        <w:ind w:left="6228" w:hanging="180"/>
      </w:pPr>
    </w:lvl>
    <w:lvl w:ilvl="6" w:tplc="61242828" w:tentative="1">
      <w:start w:val="1"/>
      <w:numFmt w:val="decimal"/>
      <w:lvlText w:val="%7."/>
      <w:lvlJc w:val="left"/>
      <w:pPr>
        <w:ind w:left="6948" w:hanging="360"/>
      </w:pPr>
    </w:lvl>
    <w:lvl w:ilvl="7" w:tplc="0AAA7F62" w:tentative="1">
      <w:start w:val="1"/>
      <w:numFmt w:val="lowerLetter"/>
      <w:lvlText w:val="%8."/>
      <w:lvlJc w:val="left"/>
      <w:pPr>
        <w:ind w:left="7668" w:hanging="360"/>
      </w:pPr>
    </w:lvl>
    <w:lvl w:ilvl="8" w:tplc="4022B422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F0D48A30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CD2C99EE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D9E237F8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8814E992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D1E7270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CE309ADC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555E4BD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F65CD6EC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BD366672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FC88B380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D48CA2DC" w:tentative="1">
      <w:start w:val="1"/>
      <w:numFmt w:val="lowerLetter"/>
      <w:lvlText w:val="%2."/>
      <w:lvlJc w:val="left"/>
      <w:pPr>
        <w:ind w:left="2463" w:hanging="360"/>
      </w:pPr>
    </w:lvl>
    <w:lvl w:ilvl="2" w:tplc="6F3E140C" w:tentative="1">
      <w:start w:val="1"/>
      <w:numFmt w:val="lowerRoman"/>
      <w:lvlText w:val="%3."/>
      <w:lvlJc w:val="right"/>
      <w:pPr>
        <w:ind w:left="3183" w:hanging="180"/>
      </w:pPr>
    </w:lvl>
    <w:lvl w:ilvl="3" w:tplc="71B0EC88" w:tentative="1">
      <w:start w:val="1"/>
      <w:numFmt w:val="decimal"/>
      <w:lvlText w:val="%4."/>
      <w:lvlJc w:val="left"/>
      <w:pPr>
        <w:ind w:left="3903" w:hanging="360"/>
      </w:pPr>
    </w:lvl>
    <w:lvl w:ilvl="4" w:tplc="A254F562" w:tentative="1">
      <w:start w:val="1"/>
      <w:numFmt w:val="lowerLetter"/>
      <w:lvlText w:val="%5."/>
      <w:lvlJc w:val="left"/>
      <w:pPr>
        <w:ind w:left="4623" w:hanging="360"/>
      </w:pPr>
    </w:lvl>
    <w:lvl w:ilvl="5" w:tplc="354C0982" w:tentative="1">
      <w:start w:val="1"/>
      <w:numFmt w:val="lowerRoman"/>
      <w:lvlText w:val="%6."/>
      <w:lvlJc w:val="right"/>
      <w:pPr>
        <w:ind w:left="5343" w:hanging="180"/>
      </w:pPr>
    </w:lvl>
    <w:lvl w:ilvl="6" w:tplc="3D147618" w:tentative="1">
      <w:start w:val="1"/>
      <w:numFmt w:val="decimal"/>
      <w:lvlText w:val="%7."/>
      <w:lvlJc w:val="left"/>
      <w:pPr>
        <w:ind w:left="6063" w:hanging="360"/>
      </w:pPr>
    </w:lvl>
    <w:lvl w:ilvl="7" w:tplc="007AAEFE" w:tentative="1">
      <w:start w:val="1"/>
      <w:numFmt w:val="lowerLetter"/>
      <w:lvlText w:val="%8."/>
      <w:lvlJc w:val="left"/>
      <w:pPr>
        <w:ind w:left="6783" w:hanging="360"/>
      </w:pPr>
    </w:lvl>
    <w:lvl w:ilvl="8" w:tplc="C4487F9E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B61CD094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6532A828" w:tentative="1">
      <w:start w:val="1"/>
      <w:numFmt w:val="lowerLetter"/>
      <w:lvlText w:val="%2."/>
      <w:lvlJc w:val="left"/>
      <w:pPr>
        <w:ind w:left="2463" w:hanging="360"/>
      </w:pPr>
    </w:lvl>
    <w:lvl w:ilvl="2" w:tplc="984E7130" w:tentative="1">
      <w:start w:val="1"/>
      <w:numFmt w:val="lowerRoman"/>
      <w:lvlText w:val="%3."/>
      <w:lvlJc w:val="right"/>
      <w:pPr>
        <w:ind w:left="3183" w:hanging="180"/>
      </w:pPr>
    </w:lvl>
    <w:lvl w:ilvl="3" w:tplc="C4E06038" w:tentative="1">
      <w:start w:val="1"/>
      <w:numFmt w:val="decimal"/>
      <w:lvlText w:val="%4."/>
      <w:lvlJc w:val="left"/>
      <w:pPr>
        <w:ind w:left="3903" w:hanging="360"/>
      </w:pPr>
    </w:lvl>
    <w:lvl w:ilvl="4" w:tplc="B8B6C77A" w:tentative="1">
      <w:start w:val="1"/>
      <w:numFmt w:val="lowerLetter"/>
      <w:lvlText w:val="%5."/>
      <w:lvlJc w:val="left"/>
      <w:pPr>
        <w:ind w:left="4623" w:hanging="360"/>
      </w:pPr>
    </w:lvl>
    <w:lvl w:ilvl="5" w:tplc="399C5D6E" w:tentative="1">
      <w:start w:val="1"/>
      <w:numFmt w:val="lowerRoman"/>
      <w:lvlText w:val="%6."/>
      <w:lvlJc w:val="right"/>
      <w:pPr>
        <w:ind w:left="5343" w:hanging="180"/>
      </w:pPr>
    </w:lvl>
    <w:lvl w:ilvl="6" w:tplc="DEA02C6E" w:tentative="1">
      <w:start w:val="1"/>
      <w:numFmt w:val="decimal"/>
      <w:lvlText w:val="%7."/>
      <w:lvlJc w:val="left"/>
      <w:pPr>
        <w:ind w:left="6063" w:hanging="360"/>
      </w:pPr>
    </w:lvl>
    <w:lvl w:ilvl="7" w:tplc="E4DC4E98" w:tentative="1">
      <w:start w:val="1"/>
      <w:numFmt w:val="lowerLetter"/>
      <w:lvlText w:val="%8."/>
      <w:lvlJc w:val="left"/>
      <w:pPr>
        <w:ind w:left="6783" w:hanging="360"/>
      </w:pPr>
    </w:lvl>
    <w:lvl w:ilvl="8" w:tplc="7A6267F4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E834C326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540D752" w:tentative="1">
      <w:start w:val="1"/>
      <w:numFmt w:val="lowerLetter"/>
      <w:lvlText w:val="%2."/>
      <w:lvlJc w:val="left"/>
      <w:pPr>
        <w:ind w:left="3348" w:hanging="360"/>
      </w:pPr>
    </w:lvl>
    <w:lvl w:ilvl="2" w:tplc="E542A000" w:tentative="1">
      <w:start w:val="1"/>
      <w:numFmt w:val="lowerRoman"/>
      <w:lvlText w:val="%3."/>
      <w:lvlJc w:val="right"/>
      <w:pPr>
        <w:ind w:left="4068" w:hanging="180"/>
      </w:pPr>
    </w:lvl>
    <w:lvl w:ilvl="3" w:tplc="B94899FA" w:tentative="1">
      <w:start w:val="1"/>
      <w:numFmt w:val="decimal"/>
      <w:lvlText w:val="%4."/>
      <w:lvlJc w:val="left"/>
      <w:pPr>
        <w:ind w:left="4788" w:hanging="360"/>
      </w:pPr>
    </w:lvl>
    <w:lvl w:ilvl="4" w:tplc="821869AE" w:tentative="1">
      <w:start w:val="1"/>
      <w:numFmt w:val="lowerLetter"/>
      <w:lvlText w:val="%5."/>
      <w:lvlJc w:val="left"/>
      <w:pPr>
        <w:ind w:left="5508" w:hanging="360"/>
      </w:pPr>
    </w:lvl>
    <w:lvl w:ilvl="5" w:tplc="B028A0A8" w:tentative="1">
      <w:start w:val="1"/>
      <w:numFmt w:val="lowerRoman"/>
      <w:lvlText w:val="%6."/>
      <w:lvlJc w:val="right"/>
      <w:pPr>
        <w:ind w:left="6228" w:hanging="180"/>
      </w:pPr>
    </w:lvl>
    <w:lvl w:ilvl="6" w:tplc="B3CAF310" w:tentative="1">
      <w:start w:val="1"/>
      <w:numFmt w:val="decimal"/>
      <w:lvlText w:val="%7."/>
      <w:lvlJc w:val="left"/>
      <w:pPr>
        <w:ind w:left="6948" w:hanging="360"/>
      </w:pPr>
    </w:lvl>
    <w:lvl w:ilvl="7" w:tplc="6F6AA3F8" w:tentative="1">
      <w:start w:val="1"/>
      <w:numFmt w:val="lowerLetter"/>
      <w:lvlText w:val="%8."/>
      <w:lvlJc w:val="left"/>
      <w:pPr>
        <w:ind w:left="7668" w:hanging="360"/>
      </w:pPr>
    </w:lvl>
    <w:lvl w:ilvl="8" w:tplc="E766B53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15"/>
    <w:rsid w:val="00141394"/>
    <w:rsid w:val="00201415"/>
    <w:rsid w:val="002D55D4"/>
    <w:rsid w:val="00C43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25B1BC-1223-4C20-B6D7-116CCBB6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2019-07-31T09:32:00Z</dcterms:created>
  <dcterms:modified xsi:type="dcterms:W3CDTF">2019-07-31T09:32:00Z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